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黑体"/>
          <w:snapToGrid w:val="0"/>
          <w:kern w:val="0"/>
          <w:szCs w:val="32"/>
        </w:rPr>
      </w:pPr>
      <w:r>
        <w:rPr>
          <w:rFonts w:hint="eastAsia" w:eastAsia="黑体"/>
          <w:snapToGrid w:val="0"/>
          <w:kern w:val="0"/>
          <w:szCs w:val="32"/>
        </w:rPr>
        <w:t>附件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年四川省测绘地理信息质量监督检查、测绘资质巡查和保密检查结果</w:t>
      </w:r>
    </w:p>
    <w:tbl>
      <w:tblPr>
        <w:tblStyle w:val="6"/>
        <w:tblW w:w="13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425"/>
        <w:gridCol w:w="1013"/>
        <w:gridCol w:w="1237"/>
        <w:gridCol w:w="1438"/>
        <w:gridCol w:w="132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tblHeader/>
          <w:jc w:val="center"/>
        </w:trPr>
        <w:tc>
          <w:tcPr>
            <w:tcW w:w="8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资质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等级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质量监督检查结果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kern w:val="0"/>
                <w:szCs w:val="32"/>
                <w:lang w:bidi="ar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资质巡查结果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保密检查结果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bookmarkStart w:id="0" w:name="_Hlk334529814"/>
            <w:bookmarkStart w:id="1" w:name="OLE_LINK1" w:colFirst="1" w:colLast="1"/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中国电建集团成都勘测设计研究院有限公司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中国水利水电第五工程局有限公司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中国水利水电第七工程局有限公司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中国水利水电第十工程局有限公司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中铁八局集团有限公司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自然资源部第三地理信息制图院（四川省第二测绘地理信息工程院）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自然资源部第六地形测量队（自然资源部地下管线勘测工程院、四川省第三测绘工程院）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四川省不动产登记中心（四川省地政地籍事务中心）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四川省测绘技术服务中心有限责任公司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四川省地质矿产勘查开发局四0五地质队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四川省西南大地集团有限公司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四川百子图实业有限公司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四川川桥工程试验检测有限责任公司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四川创数智慧科技股份有限公司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四川电力设计咨询有限责任公司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四川田册科技有限公司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四川中测天翔遥感技术有限责任公司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成都地图出版社有限公司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成都光大测绘咨询有限公司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成都交大工程建设集团测绘研究院有限公司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鱼鳞图信息技术股份有限公司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四川省冶金地质勘查局六0一大队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攀枝花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遂宁市勘察测绘院（遂宁市基础地理信息中心）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遂宁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四川博达建筑勘察设计有限公司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内江市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四川省地震局地壳形变观测中心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雅安市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四川中科创世地质工程有限公司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凉山州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四川省核工业地质局二八一大队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凉山州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中水北方勘测设计研究有限责任公司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——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江西核工业测绘院集团有限公司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江西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省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——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山东天元信息技术</w:t>
            </w: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集团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山东省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——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黄河勘测规划设计研究院有限公司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甲级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河南省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——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中国科学院·水利部成都山地灾害与环境研究所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乙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中国十九冶集团有限公司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乙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中电科蓉威电子技术有限公司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乙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中匠民大国际工程设计有限公司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中景国惠勘测设计有限公司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中石化西南石油地质勘察工程有限公司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乙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中铁三局集团桥隧工程有限公司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四川安格瑞科技有限公司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四川川邑矿业技术咨询服务有限公司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四川公路桥梁建设集团有限公司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乙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四川利能燃气工程设计有限公司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四川九合空间科技有限公司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——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四川省恒升晟睿勘察设计有限公司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乙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四川省煤炭设计研究院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四川省蜀通勘察基础工程有限责任公司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乙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四川蜀月信息技术有限公司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四川同创建设工程管理有限公司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四川智美时空大数据有限公司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北桥中七设计有限公司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——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eastAsia="zh-CN"/>
              </w:rPr>
              <w:t>不</w:t>
            </w:r>
            <w:bookmarkStart w:id="2" w:name="_GoBack"/>
            <w:bookmarkEnd w:id="2"/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燕南图飞（成都）实业有限公司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成都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自贡市水利电力建筑勘测设计院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自贡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四川宏圣土地勘测设计有限公司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德阳市勘察测绘设计院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德阳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四川九零九工程勘察设计有限公司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绵阳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四川峨眉山地质工程勘察有限责任公司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乐山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四川省冶金地质勘查局六〇五大队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眉山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四川征途勘察设计有限公司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宜宾市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兴文县宏远测绘有限责任公司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宜宾市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不合格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巴中市规划编制研究中心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巴中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36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资阳市经纬房地产测绘有限责任公司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资阳</w:t>
            </w: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36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6425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凉山铭洋地理信息科技有限公司</w:t>
            </w: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cs="Arial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  <w:lang w:val="en-US" w:eastAsia="zh-CN"/>
              </w:rPr>
              <w:t>凉山州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合格</w:t>
            </w: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整改后复查合格</w:t>
            </w:r>
          </w:p>
        </w:tc>
      </w:tr>
      <w:bookmarkEnd w:id="1"/>
    </w:tbl>
    <w:p>
      <w:pPr>
        <w:spacing w:line="400" w:lineRule="exact"/>
        <w:ind w:left="1120" w:hanging="1120" w:hangingChars="4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备注：  </w:t>
      </w:r>
      <w:r>
        <w:rPr>
          <w:rFonts w:hint="eastAsia" w:ascii="宋体" w:hAnsi="宋体"/>
          <w:sz w:val="28"/>
          <w:szCs w:val="28"/>
          <w:lang w:val="en-US" w:eastAsia="zh-CN"/>
        </w:rPr>
        <w:t>1.行政处罚决定下达后，</w:t>
      </w:r>
      <w:r>
        <w:rPr>
          <w:rFonts w:hint="eastAsia" w:ascii="宋体" w:hAnsi="宋体"/>
          <w:sz w:val="28"/>
          <w:szCs w:val="28"/>
        </w:rPr>
        <w:t>兴文县宏远测绘有限责任公司注销</w:t>
      </w:r>
      <w:r>
        <w:rPr>
          <w:rFonts w:hint="eastAsia" w:ascii="宋体" w:hAnsi="宋体"/>
          <w:sz w:val="28"/>
          <w:szCs w:val="28"/>
          <w:lang w:val="en-US" w:eastAsia="zh-CN"/>
        </w:rPr>
        <w:t>了</w:t>
      </w:r>
      <w:r>
        <w:rPr>
          <w:rFonts w:hint="eastAsia" w:ascii="宋体" w:hAnsi="宋体"/>
          <w:sz w:val="28"/>
          <w:szCs w:val="28"/>
        </w:rPr>
        <w:t>测绘资质；</w:t>
      </w:r>
    </w:p>
    <w:p>
      <w:pPr>
        <w:spacing w:line="400" w:lineRule="exact"/>
        <w:ind w:left="1114" w:leftChars="348" w:firstLine="0" w:firstLineChars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北桥中七设计有限公司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四川九合空间科技有限公司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家测绘资质单位</w:t>
      </w:r>
      <w:r>
        <w:rPr>
          <w:rFonts w:hint="eastAsia" w:ascii="宋体" w:hAnsi="宋体"/>
          <w:sz w:val="28"/>
          <w:szCs w:val="28"/>
        </w:rPr>
        <w:t>在本次省检中没有测绘成果，不具备质量监督检查条件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未开展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测绘地理信息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宋体" w:hAnsi="宋体"/>
          <w:sz w:val="28"/>
          <w:szCs w:val="28"/>
          <w:lang w:val="en-US" w:eastAsia="zh-CN"/>
        </w:rPr>
        <w:t>质量监督检查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400" w:lineRule="exact"/>
        <w:ind w:left="1114" w:leftChars="348" w:firstLine="0" w:firstLineChars="0"/>
        <w:jc w:val="lef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对中水北方勘测设计研究有限责任公司、江西核工业测绘院集团有限公司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山东天元信息技术集团有限公司</w:t>
      </w:r>
      <w:r>
        <w:rPr>
          <w:rFonts w:hint="eastAsia" w:ascii="宋体" w:hAnsi="宋体"/>
          <w:sz w:val="28"/>
          <w:szCs w:val="28"/>
          <w:lang w:val="en-US" w:eastAsia="zh-CN"/>
        </w:rPr>
        <w:t>和黄河勘测规划设计研究院有限公司4</w:t>
      </w:r>
      <w:r>
        <w:rPr>
          <w:rFonts w:hint="eastAsia" w:ascii="宋体" w:hAnsi="宋体"/>
          <w:sz w:val="28"/>
          <w:szCs w:val="28"/>
        </w:rPr>
        <w:t>家省外测绘资质单位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只开展测绘地理信息质量监督检查。</w:t>
      </w:r>
    </w:p>
    <w:p>
      <w:pPr>
        <w:spacing w:line="400" w:lineRule="exact"/>
        <w:ind w:left="1114" w:leftChars="348" w:firstLine="0" w:firstLineChars="0"/>
        <w:jc w:val="left"/>
        <w:rPr>
          <w:rFonts w:hint="default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4.山东天元信息技术集团有限公司、中国科学院·水利部成都山地灾害与环境研究所、</w:t>
      </w:r>
      <w:r>
        <w:rPr>
          <w:rFonts w:hint="default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四川省冶金地质勘查局六〇五大队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3家质量监督检查结果不合格的测绘资质单位复查结果为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  <w:docVar w:name="KSO_WPS_MARK_KEY" w:val="4cb95181-c8eb-4587-b77b-737f160e4f1a"/>
  </w:docVars>
  <w:rsids>
    <w:rsidRoot w:val="00172A27"/>
    <w:rsid w:val="00025492"/>
    <w:rsid w:val="00052329"/>
    <w:rsid w:val="000675BD"/>
    <w:rsid w:val="0015557A"/>
    <w:rsid w:val="00172A27"/>
    <w:rsid w:val="00173C74"/>
    <w:rsid w:val="001C276E"/>
    <w:rsid w:val="002010A2"/>
    <w:rsid w:val="0023213E"/>
    <w:rsid w:val="0024195C"/>
    <w:rsid w:val="0026142D"/>
    <w:rsid w:val="00281CF8"/>
    <w:rsid w:val="0033614B"/>
    <w:rsid w:val="0037581E"/>
    <w:rsid w:val="003A7C9A"/>
    <w:rsid w:val="00417DE7"/>
    <w:rsid w:val="0044557D"/>
    <w:rsid w:val="00504B42"/>
    <w:rsid w:val="00507E77"/>
    <w:rsid w:val="00556A1B"/>
    <w:rsid w:val="00590519"/>
    <w:rsid w:val="00650444"/>
    <w:rsid w:val="0072478E"/>
    <w:rsid w:val="007A1667"/>
    <w:rsid w:val="007B4681"/>
    <w:rsid w:val="00806BA7"/>
    <w:rsid w:val="00822947"/>
    <w:rsid w:val="0091630B"/>
    <w:rsid w:val="00A44478"/>
    <w:rsid w:val="00A72223"/>
    <w:rsid w:val="00AE0291"/>
    <w:rsid w:val="00B50496"/>
    <w:rsid w:val="00B80C5A"/>
    <w:rsid w:val="00B916EB"/>
    <w:rsid w:val="00C00F9B"/>
    <w:rsid w:val="00C5625E"/>
    <w:rsid w:val="00C757F3"/>
    <w:rsid w:val="00CB2326"/>
    <w:rsid w:val="00F70CC3"/>
    <w:rsid w:val="00FA13C2"/>
    <w:rsid w:val="00FB2E1C"/>
    <w:rsid w:val="00FF791C"/>
    <w:rsid w:val="01423F24"/>
    <w:rsid w:val="01994CB7"/>
    <w:rsid w:val="02484D52"/>
    <w:rsid w:val="02D87419"/>
    <w:rsid w:val="03420243"/>
    <w:rsid w:val="0525487B"/>
    <w:rsid w:val="05415955"/>
    <w:rsid w:val="0567144E"/>
    <w:rsid w:val="05B268B2"/>
    <w:rsid w:val="06B141C2"/>
    <w:rsid w:val="07B56C77"/>
    <w:rsid w:val="08FB3878"/>
    <w:rsid w:val="096B1B3E"/>
    <w:rsid w:val="0BE23E5F"/>
    <w:rsid w:val="0C881E76"/>
    <w:rsid w:val="0CA465CD"/>
    <w:rsid w:val="0FBF2FF9"/>
    <w:rsid w:val="106F1346"/>
    <w:rsid w:val="1103693B"/>
    <w:rsid w:val="11E7316C"/>
    <w:rsid w:val="12D30788"/>
    <w:rsid w:val="13620456"/>
    <w:rsid w:val="150115A9"/>
    <w:rsid w:val="169F4D0A"/>
    <w:rsid w:val="176E24D7"/>
    <w:rsid w:val="177944AF"/>
    <w:rsid w:val="1B223ED6"/>
    <w:rsid w:val="1CCA0563"/>
    <w:rsid w:val="1D790876"/>
    <w:rsid w:val="1E0A7CA4"/>
    <w:rsid w:val="246013B8"/>
    <w:rsid w:val="2604714B"/>
    <w:rsid w:val="26353ED8"/>
    <w:rsid w:val="269C703A"/>
    <w:rsid w:val="26AE2D78"/>
    <w:rsid w:val="28562506"/>
    <w:rsid w:val="28585111"/>
    <w:rsid w:val="28A76057"/>
    <w:rsid w:val="29574E8B"/>
    <w:rsid w:val="29966878"/>
    <w:rsid w:val="2A374225"/>
    <w:rsid w:val="2AA6602F"/>
    <w:rsid w:val="2AFC59F2"/>
    <w:rsid w:val="2B28102B"/>
    <w:rsid w:val="2B8F0C6D"/>
    <w:rsid w:val="2CCC45ED"/>
    <w:rsid w:val="2CFF2A19"/>
    <w:rsid w:val="2D314806"/>
    <w:rsid w:val="2E193C80"/>
    <w:rsid w:val="2E8C2070"/>
    <w:rsid w:val="2E985723"/>
    <w:rsid w:val="2EDF47F7"/>
    <w:rsid w:val="2F071009"/>
    <w:rsid w:val="2F141DB1"/>
    <w:rsid w:val="2FA154C2"/>
    <w:rsid w:val="30032774"/>
    <w:rsid w:val="31464ABB"/>
    <w:rsid w:val="344F012B"/>
    <w:rsid w:val="34CA13C0"/>
    <w:rsid w:val="34E8159D"/>
    <w:rsid w:val="366A7484"/>
    <w:rsid w:val="37BB4DB2"/>
    <w:rsid w:val="37CC785D"/>
    <w:rsid w:val="38A04AB1"/>
    <w:rsid w:val="39B051C8"/>
    <w:rsid w:val="39D61FB3"/>
    <w:rsid w:val="39F71049"/>
    <w:rsid w:val="3B6F31EA"/>
    <w:rsid w:val="3B7E01EF"/>
    <w:rsid w:val="3B9529AC"/>
    <w:rsid w:val="3BAA5C47"/>
    <w:rsid w:val="3BF31E6D"/>
    <w:rsid w:val="3D295FC7"/>
    <w:rsid w:val="3E406ECD"/>
    <w:rsid w:val="3FFFBF8A"/>
    <w:rsid w:val="41E56184"/>
    <w:rsid w:val="420418D8"/>
    <w:rsid w:val="426B29B6"/>
    <w:rsid w:val="43EF403C"/>
    <w:rsid w:val="463827CD"/>
    <w:rsid w:val="467E44D1"/>
    <w:rsid w:val="46C16371"/>
    <w:rsid w:val="47F977FC"/>
    <w:rsid w:val="482309F5"/>
    <w:rsid w:val="489B0981"/>
    <w:rsid w:val="48D01A82"/>
    <w:rsid w:val="499614A7"/>
    <w:rsid w:val="49EB3AAC"/>
    <w:rsid w:val="4AAB65EA"/>
    <w:rsid w:val="4B5C6F5D"/>
    <w:rsid w:val="4BDE0CEE"/>
    <w:rsid w:val="4D606AEB"/>
    <w:rsid w:val="4EEA4880"/>
    <w:rsid w:val="4F8A03D7"/>
    <w:rsid w:val="50461F8A"/>
    <w:rsid w:val="50724B48"/>
    <w:rsid w:val="527903F5"/>
    <w:rsid w:val="53114F74"/>
    <w:rsid w:val="53DC27FD"/>
    <w:rsid w:val="55A92A55"/>
    <w:rsid w:val="574C3341"/>
    <w:rsid w:val="59406482"/>
    <w:rsid w:val="59734DEE"/>
    <w:rsid w:val="5AAC32E9"/>
    <w:rsid w:val="5B4778BF"/>
    <w:rsid w:val="5B60180C"/>
    <w:rsid w:val="5B8F60B8"/>
    <w:rsid w:val="5C180507"/>
    <w:rsid w:val="5D7C5339"/>
    <w:rsid w:val="5E983FF4"/>
    <w:rsid w:val="5F392547"/>
    <w:rsid w:val="5FD74A75"/>
    <w:rsid w:val="600A269D"/>
    <w:rsid w:val="609E44BC"/>
    <w:rsid w:val="62AF63EB"/>
    <w:rsid w:val="632E0571"/>
    <w:rsid w:val="63B00595"/>
    <w:rsid w:val="65EA0F46"/>
    <w:rsid w:val="662575A4"/>
    <w:rsid w:val="680C5410"/>
    <w:rsid w:val="68B37E0E"/>
    <w:rsid w:val="69B44634"/>
    <w:rsid w:val="6A073110"/>
    <w:rsid w:val="6AF40B09"/>
    <w:rsid w:val="6B0F149F"/>
    <w:rsid w:val="6BAFCFF1"/>
    <w:rsid w:val="6C395993"/>
    <w:rsid w:val="6DBC56A7"/>
    <w:rsid w:val="6DD80592"/>
    <w:rsid w:val="6EAB3BD4"/>
    <w:rsid w:val="6F2F210F"/>
    <w:rsid w:val="70875AE5"/>
    <w:rsid w:val="71105F71"/>
    <w:rsid w:val="71A13E96"/>
    <w:rsid w:val="7225044C"/>
    <w:rsid w:val="72905E08"/>
    <w:rsid w:val="72E90827"/>
    <w:rsid w:val="74B86703"/>
    <w:rsid w:val="757C78FD"/>
    <w:rsid w:val="75D81CBA"/>
    <w:rsid w:val="761C5B59"/>
    <w:rsid w:val="79A61220"/>
    <w:rsid w:val="7A096D9C"/>
    <w:rsid w:val="7B891876"/>
    <w:rsid w:val="7B9D1C2F"/>
    <w:rsid w:val="7D6531A0"/>
    <w:rsid w:val="7F0D1D41"/>
    <w:rsid w:val="7F54CB71"/>
    <w:rsid w:val="7F7F17E6"/>
    <w:rsid w:val="7FA1574F"/>
    <w:rsid w:val="7FD62B56"/>
    <w:rsid w:val="7FF6BD41"/>
    <w:rsid w:val="7FFD20CA"/>
    <w:rsid w:val="9BEF2469"/>
    <w:rsid w:val="BAFD42E5"/>
    <w:rsid w:val="DFF59D03"/>
    <w:rsid w:val="E9DF4BC9"/>
    <w:rsid w:val="EDFF5940"/>
    <w:rsid w:val="EFDF6F3C"/>
    <w:rsid w:val="F76FAC29"/>
    <w:rsid w:val="FF77B135"/>
    <w:rsid w:val="FFD31AE5"/>
    <w:rsid w:val="FF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Char Char Char Char Char"/>
    <w:basedOn w:val="1"/>
    <w:qFormat/>
    <w:uiPriority w:val="0"/>
    <w:rPr>
      <w:rFonts w:ascii="Tahoma" w:hAnsi="Tahom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5093</Words>
  <Characters>5499</Characters>
  <Lines>29</Lines>
  <Paragraphs>8</Paragraphs>
  <TotalTime>0</TotalTime>
  <ScaleCrop>false</ScaleCrop>
  <LinksUpToDate>false</LinksUpToDate>
  <CharactersWithSpaces>5503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2023-01-05T17:31:00Z</dcterms:created>
  <dc:creator>02</dc:creator>
  <cp:lastModifiedBy>guest</cp:lastModifiedBy>
  <cp:lastPrinted>2021-12-04T16:59:00Z</cp:lastPrinted>
  <dcterms:modified xsi:type="dcterms:W3CDTF">2023-12-15T09:15:15Z</dcterms:modified>
  <dc:title>附件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5D3D3D3CEB004B0A8D1B3348C031A5A1</vt:lpwstr>
  </property>
</Properties>
</file>